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4D" w:rsidRPr="0052392C" w:rsidRDefault="00AB134D" w:rsidP="00AB134D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sz w:val="36"/>
          <w:szCs w:val="36"/>
          <w:lang w:val="en-US" w:eastAsia="pl-PL"/>
        </w:rPr>
      </w:pPr>
      <w:bookmarkStart w:id="0" w:name="_GoBack"/>
      <w:bookmarkEnd w:id="0"/>
      <w:r w:rsidRPr="0052392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>European RoHS Directive 2011/65/EU</w:t>
      </w:r>
      <w:r w:rsidR="00B71FC9" w:rsidRPr="006842A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 xml:space="preserve"> and</w:t>
      </w:r>
      <w:r w:rsidR="00231062" w:rsidRPr="006842A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 xml:space="preserve"> </w:t>
      </w:r>
      <w:r w:rsidR="00FB0CBF" w:rsidRPr="006842A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>Commission D</w:t>
      </w:r>
      <w:r w:rsidR="00231062" w:rsidRPr="006842A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 xml:space="preserve">elegated Directive </w:t>
      </w:r>
      <w:r w:rsidR="00FB0CBF" w:rsidRPr="006842A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 xml:space="preserve">(EU) 2015/863 </w:t>
      </w:r>
      <w:r w:rsidRPr="0052392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>and Its</w:t>
      </w:r>
      <w:r w:rsidR="00B71FC9" w:rsidRPr="0052392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 xml:space="preserve"> </w:t>
      </w:r>
      <w:r w:rsidRPr="0052392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>Application to Woodward, Inc.</w:t>
      </w:r>
      <w:r w:rsidRPr="0052392C">
        <w:rPr>
          <w:rFonts w:ascii="&amp;quot" w:eastAsia="Times New Roman" w:hAnsi="&amp;quot" w:cs="Times New Roman" w:hint="eastAsia"/>
          <w:b/>
          <w:bCs/>
          <w:sz w:val="36"/>
          <w:szCs w:val="36"/>
          <w:lang w:val="en-US" w:eastAsia="pl-PL"/>
        </w:rPr>
        <w:t>’</w:t>
      </w:r>
      <w:r w:rsidRPr="0052392C">
        <w:rPr>
          <w:rFonts w:ascii="&amp;quot" w:eastAsia="Times New Roman" w:hAnsi="&amp;quot" w:cs="Times New Roman"/>
          <w:b/>
          <w:bCs/>
          <w:sz w:val="36"/>
          <w:szCs w:val="36"/>
          <w:lang w:val="en-US" w:eastAsia="pl-PL"/>
        </w:rPr>
        <w:t>s Products</w:t>
      </w:r>
    </w:p>
    <w:p w:rsidR="00AB134D" w:rsidRPr="006842AC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sz w:val="24"/>
          <w:szCs w:val="24"/>
          <w:lang w:val="en-US" w:eastAsia="pl-PL"/>
        </w:rPr>
      </w:pP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Woodward, Inc. ("Woodward") has been closely monitoring changes in legislation regarding restrictions on the use of certain hazardous substances in electrical and electronic equipment sold in the European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Union. The new Directive 2011/65/EU (</w:t>
      </w:r>
      <w:r w:rsidR="004873E5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6 entries-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commonly referred to as RoHS2) was put in force on 3rd January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2013, thereby repealing EC Directive 2002/95/EC.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="0023106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The </w:t>
      </w:r>
      <w:r w:rsidR="00D324C8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Commission Delegated Directive (EU) 2015/863 </w:t>
      </w:r>
      <w:r w:rsidR="0023106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(</w:t>
      </w:r>
      <w:r w:rsidR="004873E5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10 entries</w:t>
      </w:r>
      <w:r w:rsidR="0023106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) </w:t>
      </w:r>
      <w:r w:rsidR="00D324C8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adds</w:t>
      </w:r>
      <w:r w:rsidR="0023106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four </w:t>
      </w:r>
      <w:r w:rsidR="005F6991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new </w:t>
      </w:r>
      <w:r w:rsidR="004873E5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substances </w:t>
      </w:r>
      <w:r w:rsidR="0023106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to the already restricted substance groups.</w:t>
      </w:r>
    </w:p>
    <w:p w:rsidR="00AB134D" w:rsidRPr="006842AC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sz w:val="24"/>
          <w:szCs w:val="24"/>
          <w:lang w:val="en-US" w:eastAsia="pl-PL"/>
        </w:rPr>
      </w:pP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Based on our best knowledge and belief, Woodward has taken the following positions with respect to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the applicability of </w:t>
      </w:r>
      <w:r w:rsidR="004873E5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the 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RoHS</w:t>
      </w:r>
      <w:r w:rsidR="004873E5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Directive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to our products:</w:t>
      </w:r>
    </w:p>
    <w:p w:rsidR="00AB134D" w:rsidRPr="006842AC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sz w:val="24"/>
          <w:szCs w:val="24"/>
          <w:lang w:val="en-US" w:eastAsia="pl-PL"/>
        </w:rPr>
      </w:pP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1. Woodward's aerospace and military segment products, including those used in connection with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Aircraft, Aircraft Turbines, Industrial and Factory Automation, Rotorcraft, Armored and Tactical Vehicles,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Guided Missiles and Munitions, Unmanned Aerial Vehicles, and Naval applications, are not currently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subject to </w:t>
      </w:r>
      <w:r w:rsidR="00B71FC9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the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restrictions per Article 2.4 (a, b and f)</w:t>
      </w:r>
      <w:r w:rsidR="00B71FC9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of RoHS2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.</w:t>
      </w:r>
    </w:p>
    <w:p w:rsidR="00AB134D" w:rsidRPr="006842AC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sz w:val="24"/>
          <w:szCs w:val="24"/>
          <w:lang w:val="en-US" w:eastAsia="pl-PL"/>
        </w:rPr>
      </w:pP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2. Woodward's energy segment products, including those used in connection with Electrical Power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Generation &amp; Distribution, Large Engines, Small Engines and Industrial Turbomachinery, are considered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"industrial monitoring and control instruments" within the meaning of Category 9, as set forth in Annex I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to RoHS2. Although these products are in scope of </w:t>
      </w:r>
      <w:r w:rsidR="00C01186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the 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RoHS</w:t>
      </w:r>
      <w:r w:rsidR="003668A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Directive </w:t>
      </w:r>
      <w:r w:rsidR="00E34BD3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(unless excluded per Article 2 of RoHS2) 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they will not</w:t>
      </w:r>
      <w:r w:rsidR="00A51170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be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come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subj</w:t>
      </w:r>
      <w:r w:rsidR="003668A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ect to </w:t>
      </w:r>
      <w:r w:rsidR="005F6991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new</w:t>
      </w:r>
      <w:r w:rsidR="003668A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substance</w:t>
      </w:r>
      <w:r w:rsidR="00B71FC9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restrictions </w:t>
      </w:r>
      <w:r w:rsidR="003668A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(</w:t>
      </w:r>
      <w:r w:rsidR="006842AC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per Annex</w:t>
      </w:r>
      <w:r w:rsidR="003668A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II</w:t>
      </w:r>
      <w:r w:rsidR="00D4392F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of Delegated Directive (EU) 2015/863</w:t>
      </w:r>
      <w:r w:rsidR="003668A2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) </w:t>
      </w:r>
      <w:r w:rsidR="00B71FC9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until 22 July 2021</w:t>
      </w:r>
      <w:r w:rsidR="00E34BD3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.</w:t>
      </w:r>
    </w:p>
    <w:p w:rsidR="00AB134D" w:rsidRPr="006842AC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sz w:val="24"/>
          <w:szCs w:val="24"/>
          <w:lang w:val="en-US" w:eastAsia="pl-PL"/>
        </w:rPr>
      </w:pP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Woodward's Industrial Turbomachinery Systems (ITS) products, which include those used as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components of industrial gas turbines, steam turbines, wind turbines, compressors and safety systems,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are intended to be sold and used only as part of Large Scale Fixed Installations. Thus, these products are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not subject to RoHS</w:t>
      </w:r>
      <w:r w:rsidR="00DA3194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restrictions per Article 2.4(c) and (e)</w:t>
      </w:r>
      <w:r w:rsidR="00DA3194"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 xml:space="preserve"> of RoHS2 Directive</w:t>
      </w:r>
      <w:r w:rsidRPr="006842AC">
        <w:rPr>
          <w:rFonts w:ascii="&amp;quot" w:eastAsia="Times New Roman" w:hAnsi="&amp;quot" w:cs="Times New Roman"/>
          <w:sz w:val="24"/>
          <w:szCs w:val="24"/>
          <w:lang w:val="en-US" w:eastAsia="pl-PL"/>
        </w:rPr>
        <w:t>.</w:t>
      </w:r>
      <w:r w:rsidRPr="006842AC">
        <w:rPr>
          <w:rFonts w:ascii="&amp;quot" w:eastAsia="Times New Roman" w:hAnsi="&amp;quot" w:cs="Times New Roman" w:hint="eastAsia"/>
          <w:sz w:val="24"/>
          <w:szCs w:val="24"/>
          <w:lang w:val="en-US" w:eastAsia="pl-PL"/>
        </w:rPr>
        <w:t> </w:t>
      </w:r>
    </w:p>
    <w:p w:rsidR="004253B7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</w:pPr>
      <w:r w:rsidRPr="00AB134D"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  <w:t>Please note that Woodward's position reflects the current approach and is subject to revision of its content in order to reflect the most accurate requirements applicable to Woodward's products. </w:t>
      </w:r>
    </w:p>
    <w:p w:rsidR="004253B7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</w:pPr>
      <w:r w:rsidRPr="00AB134D"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  <w:t>Please contact your sales representative for more details regarding RoHS compliance of a specific Woodward product. We would be happy to provide you with additional information.</w:t>
      </w:r>
    </w:p>
    <w:p w:rsidR="00006052" w:rsidRPr="00AB134D" w:rsidRDefault="00AB134D" w:rsidP="00AB134D">
      <w:pPr>
        <w:spacing w:after="100" w:afterAutospacing="1" w:line="360" w:lineRule="atLeast"/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</w:pPr>
      <w:r w:rsidRPr="00AB134D"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  <w:lastRenderedPageBreak/>
        <w:br/>
        <w:t>If you have any comments or questions concerning this communication, </w:t>
      </w:r>
      <w:hyperlink r:id="rId4" w:tgtFrame="_blank" w:tooltip="Enter a Support Ticket" w:history="1">
        <w:r w:rsidRPr="00AB134D">
          <w:rPr>
            <w:rFonts w:ascii="&amp;quot" w:eastAsia="Times New Roman" w:hAnsi="&amp;quot" w:cs="Times New Roman"/>
            <w:color w:val="0056B3"/>
            <w:sz w:val="24"/>
            <w:szCs w:val="24"/>
            <w:u w:val="single"/>
            <w:lang w:val="en-US" w:eastAsia="pl-PL"/>
          </w:rPr>
          <w:t>please don't hesitate to contact Woodward representatives</w:t>
        </w:r>
      </w:hyperlink>
      <w:r w:rsidRPr="00AB134D">
        <w:rPr>
          <w:rFonts w:ascii="&amp;quot" w:eastAsia="Times New Roman" w:hAnsi="&amp;quot" w:cs="Times New Roman"/>
          <w:color w:val="333333"/>
          <w:sz w:val="24"/>
          <w:szCs w:val="24"/>
          <w:lang w:val="en-US" w:eastAsia="pl-PL"/>
        </w:rPr>
        <w:t>.</w:t>
      </w:r>
    </w:p>
    <w:sectPr w:rsidR="00006052" w:rsidRPr="00AB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4D"/>
    <w:rsid w:val="00006052"/>
    <w:rsid w:val="00231062"/>
    <w:rsid w:val="003668A2"/>
    <w:rsid w:val="003A6F70"/>
    <w:rsid w:val="004253B7"/>
    <w:rsid w:val="004873E5"/>
    <w:rsid w:val="0052392C"/>
    <w:rsid w:val="005F6991"/>
    <w:rsid w:val="006842AC"/>
    <w:rsid w:val="007E6F4F"/>
    <w:rsid w:val="00833E43"/>
    <w:rsid w:val="00A51170"/>
    <w:rsid w:val="00AB134D"/>
    <w:rsid w:val="00AE72BD"/>
    <w:rsid w:val="00B71FC9"/>
    <w:rsid w:val="00C01186"/>
    <w:rsid w:val="00D324C8"/>
    <w:rsid w:val="00D4392F"/>
    <w:rsid w:val="00DA3194"/>
    <w:rsid w:val="00E34BD3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84F2B-E0AB-47DC-9EA2-6DB08FD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1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13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B13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AB134D"/>
    <w:rPr>
      <w:color w:val="0000FF"/>
      <w:u w:val="single"/>
    </w:rPr>
  </w:style>
  <w:style w:type="paragraph" w:styleId="Revision">
    <w:name w:val="Revision"/>
    <w:hidden/>
    <w:uiPriority w:val="99"/>
    <w:semiHidden/>
    <w:rsid w:val="006842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woodward.com/e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Mazur</dc:creator>
  <cp:keywords/>
  <dc:description/>
  <cp:lastModifiedBy>Julie James</cp:lastModifiedBy>
  <cp:revision>2</cp:revision>
  <dcterms:created xsi:type="dcterms:W3CDTF">2020-05-22T20:24:00Z</dcterms:created>
  <dcterms:modified xsi:type="dcterms:W3CDTF">2020-05-22T20:24:00Z</dcterms:modified>
</cp:coreProperties>
</file>